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FAAA1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501543</w:t>
      </w:r>
    </w:p>
    <w:p w14:paraId="01A3A504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298418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720F95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A3E6D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FAE96B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4FE7265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95530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D77CB8">
        <w:tc>
          <w:tcPr>
            <w:tcW w:w="142" w:type="dxa"/>
            <w:tcBorders>
              <w:left w:val="single" w:color="auto" w:sz="4" w:space="0"/>
            </w:tcBorders>
          </w:tcPr>
          <w:p w14:paraId="5E1726D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5DEE3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311543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2F1FB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FD3002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2A9776">
            <w:pPr>
              <w:pStyle w:val="81"/>
              <w:spacing w:after="0"/>
              <w:jc w:val="center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sz w:val="28"/>
                <w:lang w:val="fr-FR"/>
              </w:rPr>
              <w:t>2</w:t>
            </w:r>
          </w:p>
        </w:tc>
        <w:tc>
          <w:tcPr>
            <w:tcW w:w="2410" w:type="dxa"/>
          </w:tcPr>
          <w:p w14:paraId="5C1779A0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EF10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D737CD8">
            <w:pPr>
              <w:pStyle w:val="81"/>
              <w:spacing w:after="0"/>
            </w:pPr>
          </w:p>
        </w:tc>
      </w:tr>
      <w:tr w14:paraId="24CFA2A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ABB806">
            <w:pPr>
              <w:pStyle w:val="81"/>
              <w:spacing w:after="0"/>
            </w:pPr>
          </w:p>
        </w:tc>
      </w:tr>
      <w:tr w14:paraId="341C99F3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08E85B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A869207">
        <w:tc>
          <w:tcPr>
            <w:tcW w:w="9641" w:type="dxa"/>
            <w:gridSpan w:val="9"/>
          </w:tcPr>
          <w:p w14:paraId="3AD084A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EEFB673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C04357F">
        <w:tc>
          <w:tcPr>
            <w:tcW w:w="2835" w:type="dxa"/>
          </w:tcPr>
          <w:p w14:paraId="5E7F70C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17BAE2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3BFFE6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1A08490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187EAA1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fr-FR"/>
              </w:rPr>
            </w:pPr>
            <w:r>
              <w:rPr>
                <w:rFonts w:hint="default"/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 w14:paraId="0221F50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97E70A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CA37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AAF7DF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A2B208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E2F6120">
        <w:tc>
          <w:tcPr>
            <w:tcW w:w="9640" w:type="dxa"/>
            <w:gridSpan w:val="11"/>
          </w:tcPr>
          <w:p w14:paraId="42813F3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D45901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74C7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2CC589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0E79BB69">
        <w:tc>
          <w:tcPr>
            <w:tcW w:w="1843" w:type="dxa"/>
            <w:tcBorders>
              <w:left w:val="single" w:color="auto" w:sz="4" w:space="0"/>
            </w:tcBorders>
          </w:tcPr>
          <w:p w14:paraId="6BD4EBD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1B85DE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FE5BE04">
        <w:tc>
          <w:tcPr>
            <w:tcW w:w="1843" w:type="dxa"/>
            <w:tcBorders>
              <w:left w:val="single" w:color="auto" w:sz="4" w:space="0"/>
            </w:tcBorders>
          </w:tcPr>
          <w:p w14:paraId="6274022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6F69A67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5A663691">
        <w:tc>
          <w:tcPr>
            <w:tcW w:w="1843" w:type="dxa"/>
            <w:tcBorders>
              <w:left w:val="single" w:color="auto" w:sz="4" w:space="0"/>
            </w:tcBorders>
          </w:tcPr>
          <w:p w14:paraId="6A2DC65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AAB0F1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37F2866F">
        <w:tc>
          <w:tcPr>
            <w:tcW w:w="1843" w:type="dxa"/>
            <w:tcBorders>
              <w:left w:val="single" w:color="auto" w:sz="4" w:space="0"/>
            </w:tcBorders>
          </w:tcPr>
          <w:p w14:paraId="1ADD420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880BA7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2A8480">
        <w:tc>
          <w:tcPr>
            <w:tcW w:w="1843" w:type="dxa"/>
            <w:tcBorders>
              <w:left w:val="single" w:color="auto" w:sz="4" w:space="0"/>
            </w:tcBorders>
          </w:tcPr>
          <w:p w14:paraId="0D3756F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C010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87B4A6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3A77A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B8F373F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-02-20</w:t>
            </w:r>
          </w:p>
        </w:tc>
      </w:tr>
      <w:tr w14:paraId="1D4C2620">
        <w:tc>
          <w:tcPr>
            <w:tcW w:w="1843" w:type="dxa"/>
            <w:tcBorders>
              <w:left w:val="single" w:color="auto" w:sz="4" w:space="0"/>
            </w:tcBorders>
          </w:tcPr>
          <w:p w14:paraId="759281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727E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8E71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9767E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0E0560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125C758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DA4BE8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A2A0F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1A04B9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766C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ED2D7A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14:paraId="7593A6F1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403A09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31FB7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525ED9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F2D0363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AF7562C">
        <w:tc>
          <w:tcPr>
            <w:tcW w:w="1843" w:type="dxa"/>
          </w:tcPr>
          <w:p w14:paraId="09037D0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E64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10926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B231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1DC3B9">
            <w:pPr>
              <w:pStyle w:val="81"/>
              <w:spacing w:after="0"/>
              <w:ind w:left="100"/>
            </w:pPr>
            <w:r>
              <w:t xml:space="preserve">In the J2000 reference frame (see NIMA TR 8350.2), the inclination is always reported as a value between 0° and 180°, and retrograde orbits are distinguished by their inclination being greater than 90°. The range of orbital inclination is defined in </w:t>
            </w:r>
            <w:r>
              <w:rPr>
                <w:lang w:val="fr-FR"/>
              </w:rPr>
              <w:t>existing</w:t>
            </w:r>
            <w:r>
              <w:t xml:space="preserve"> </w:t>
            </w:r>
            <w:r>
              <w:rPr>
                <w:lang w:val="fr-FR"/>
              </w:rPr>
              <w:t>specifications</w:t>
            </w:r>
            <w:r>
              <w:t xml:space="preserve"> with value range between –PI/2 (-90°) and +PI/2 (+90), It is proposed to clarify </w:t>
            </w:r>
            <w:bookmarkStart w:id="5" w:name="_GoBack"/>
            <w:bookmarkEnd w:id="5"/>
            <w:r>
              <w:t>that in this convention negatives values correspond to retrograd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 and positives values correspond to prograd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orbits.</w:t>
            </w:r>
          </w:p>
        </w:tc>
      </w:tr>
      <w:tr w14:paraId="0FB931B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A7E4A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AE113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E76955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A309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C342E3B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01B487F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7158A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E735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86E48C8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F0399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334E5E"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Ambiguity on the inclination value interpretation can lead to a UE misunderstanding of the satellite orbital parameters transmitted by the network with the risk that UE cannot connect to the NTN</w:t>
            </w:r>
          </w:p>
        </w:tc>
      </w:tr>
      <w:tr w14:paraId="7CAC8BA7">
        <w:tc>
          <w:tcPr>
            <w:tcW w:w="2694" w:type="dxa"/>
            <w:gridSpan w:val="2"/>
          </w:tcPr>
          <w:p w14:paraId="69B642A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AF993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24662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8179B6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7A1ED">
            <w:pPr>
              <w:pStyle w:val="81"/>
              <w:spacing w:after="0"/>
              <w:ind w:left="100"/>
            </w:pPr>
            <w:r>
              <w:t>6.3.2</w:t>
            </w:r>
          </w:p>
        </w:tc>
      </w:tr>
      <w:tr w14:paraId="15B7EC6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3A6EB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00578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3BD870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AFC2C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EB1E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47EBA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3B4E39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4D7F98">
            <w:pPr>
              <w:pStyle w:val="81"/>
              <w:spacing w:after="0"/>
              <w:ind w:left="99"/>
            </w:pPr>
          </w:p>
        </w:tc>
      </w:tr>
      <w:tr w14:paraId="5E866CE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2B2C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D236E2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A3D76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53B30D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39E9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0382E5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11647F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E5EFA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32AB8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E68D96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146D34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E5AE9F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152CF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16001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1214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F40004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FF960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4738E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EA833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77D039">
            <w:pPr>
              <w:pStyle w:val="81"/>
              <w:spacing w:after="0"/>
            </w:pPr>
          </w:p>
        </w:tc>
      </w:tr>
      <w:tr w14:paraId="79DF2740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6045E1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FDD808">
            <w:pPr>
              <w:pStyle w:val="81"/>
              <w:spacing w:after="0"/>
              <w:ind w:left="100"/>
            </w:pPr>
          </w:p>
        </w:tc>
      </w:tr>
      <w:tr w14:paraId="312239EC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42DB20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7483A70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878208B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36AD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57DB1D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R2-2500941, R2-2501403</w:t>
            </w:r>
          </w:p>
        </w:tc>
      </w:tr>
    </w:tbl>
    <w:p w14:paraId="476B7003">
      <w:pPr>
        <w:pStyle w:val="81"/>
        <w:spacing w:after="0"/>
        <w:rPr>
          <w:sz w:val="8"/>
          <w:szCs w:val="8"/>
        </w:rPr>
      </w:pPr>
    </w:p>
    <w:p w14:paraId="7BE3BF55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6ACD0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4D1BF8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185510894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EphemerisInfo</w:t>
      </w:r>
      <w:bookmarkEnd w:id="4"/>
    </w:p>
    <w:p w14:paraId="08173F0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EphemerisInfo</w:t>
      </w:r>
      <w:r>
        <w:rPr>
          <w:lang w:eastAsia="ja-JP"/>
        </w:rPr>
        <w:t xml:space="preserve"> provides satellite ephemeris. Ephemeris may be expressed either in format of position and velocity state vector in ECEF or in format of orbital parameters in ECI. Note: The ECI and ECEF coincide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 xml:space="preserve">, i.e., x,y,z axis in ECEF are aligned with x,y,z axis in ECI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>.</w:t>
      </w:r>
    </w:p>
    <w:p w14:paraId="68708E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EphemerisInfo</w:t>
      </w:r>
      <w:r>
        <w:rPr>
          <w:rFonts w:ascii="Arial" w:hAnsi="Arial"/>
          <w:b/>
          <w:lang w:eastAsia="ja-JP"/>
        </w:rPr>
        <w:t xml:space="preserve"> information element</w:t>
      </w:r>
    </w:p>
    <w:p w14:paraId="2A510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443A17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TAG-EPHEMERISINFO-START</w:t>
      </w:r>
    </w:p>
    <w:p w14:paraId="1F924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514F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EphemerisInfo-r17 ::=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0093E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positionVelocity-r17           PositionVelocity-r17,</w:t>
      </w:r>
    </w:p>
    <w:p w14:paraId="2D8AA7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orbital-r17                    Orbital-r17</w:t>
      </w:r>
    </w:p>
    <w:p w14:paraId="4DBB1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564E6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409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PositionVelocity-r17 ::=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23167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positionX-r17                  PositionStateVector-r17,</w:t>
      </w:r>
    </w:p>
    <w:p w14:paraId="39018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positionY-r17                  PositionStateVector-r17,</w:t>
      </w:r>
    </w:p>
    <w:p w14:paraId="76D29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positionZ-r17                  PositionStateVector-r17,</w:t>
      </w:r>
    </w:p>
    <w:p w14:paraId="334B7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velocityVX-r17                 VelocityStateVector-r17,</w:t>
      </w:r>
    </w:p>
    <w:p w14:paraId="5253E7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velocityVY-r17                 VelocityStateVector-r17,</w:t>
      </w:r>
    </w:p>
    <w:p w14:paraId="39E28A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velocityVZ-r17                 VelocityStateVector-r17</w:t>
      </w:r>
    </w:p>
    <w:p w14:paraId="5C0A9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0D3FE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D098C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Orbital-r17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47A94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semiMajorAxis-r17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(0..8589934591),</w:t>
      </w:r>
    </w:p>
    <w:p w14:paraId="1C4CB6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eccentricity-r17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(0..1048575),</w:t>
      </w:r>
    </w:p>
    <w:p w14:paraId="0B0CC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periapsis-r17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5C8EF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longitude-r17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27120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inclination-r17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(-67108864..67108863),</w:t>
      </w:r>
    </w:p>
    <w:p w14:paraId="23333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meanAnomaly-r17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</w:t>
      </w:r>
    </w:p>
    <w:p w14:paraId="4361D6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CCC3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22E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(-33554432..33554431)</w:t>
      </w:r>
    </w:p>
    <w:p w14:paraId="3877C9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9D56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VelocityStateVector-r17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(-131072..131071)</w:t>
      </w:r>
    </w:p>
    <w:p w14:paraId="1F2832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EC3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TAG-EPHEMERISINFO-STOP</w:t>
      </w:r>
    </w:p>
    <w:p w14:paraId="001166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304A45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Style w:val="13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0CC67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91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EphemerisInfo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14:paraId="4849C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B2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ja-JP"/>
              </w:rPr>
              <w:t>eccentricity</w:t>
            </w:r>
          </w:p>
          <w:p w14:paraId="5D67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it-IT" w:eastAsia="ja-JP"/>
              </w:rPr>
              <w:t xml:space="preserve">Satellite orbital parameter: eccentricity e, see NIMA TR 8350.2 [71]. </w:t>
            </w:r>
            <w:r>
              <w:rPr>
                <w:rFonts w:ascii="Arial" w:hAnsi="Arial"/>
                <w:sz w:val="18"/>
                <w:lang w:eastAsia="ja-JP"/>
              </w:rPr>
              <w:t>Unit is radian.</w:t>
            </w:r>
          </w:p>
          <w:p w14:paraId="655924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56888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8DA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14:paraId="33B14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14:paraId="25EBF8BA">
            <w:pPr>
              <w:pStyle w:val="53"/>
              <w:rPr>
                <w:ins w:id="0" w:author="Thales" w:date="2025-02-20T17:56:33Z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ins w:id="1" w:author="Thales" w:date="2025-02-20T17:56:36Z">
              <w:r>
                <w:rPr>
                  <w:rFonts w:hint="default"/>
                  <w:sz w:val="18"/>
                  <w:lang w:val="fr-FR" w:eastAsia="zh-CN"/>
                </w:rPr>
                <w:t xml:space="preserve"> </w:t>
              </w:r>
            </w:ins>
            <w:ins w:id="2" w:author="Thales" w:date="2025-02-20T17:56:33Z">
              <w:r>
                <w:rPr>
                  <w:rFonts w:hint="default"/>
                  <w:lang w:val="fr-FR" w:eastAsia="zh-CN"/>
                </w:rPr>
                <w:t>for positive values</w:t>
              </w:r>
            </w:ins>
            <w:ins w:id="3" w:author="Thales" w:date="2025-02-20T17:56:33Z">
              <w:r>
                <w:rPr>
                  <w:lang w:eastAsia="zh-CN"/>
                </w:rPr>
                <w:t>.</w:t>
              </w:r>
            </w:ins>
          </w:p>
          <w:p w14:paraId="0556BD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ins w:id="4" w:author="Thales" w:date="2025-02-20T17:56:33Z">
              <w:r>
                <w:rPr>
                  <w:rFonts w:hint="default"/>
                  <w:lang w:val="fr-FR" w:eastAsia="zh-CN"/>
                </w:rPr>
                <w:t xml:space="preserve">Actual value </w:t>
              </w:r>
            </w:ins>
            <w:ins w:id="5" w:author="Thales" w:date="2025-02-20T17:56:33Z">
              <w:r>
                <w:rPr>
                  <w:lang w:eastAsia="zh-CN"/>
                </w:rPr>
                <w:t>= field value * (</w:t>
              </w:r>
            </w:ins>
            <w:ins w:id="6" w:author="Thales" w:date="2025-02-20T17:56:33Z">
              <w:r>
                <w:rPr/>
                <w:t>2.341* 10</w:t>
              </w:r>
            </w:ins>
            <w:ins w:id="7" w:author="Thales" w:date="2025-02-20T17:56:33Z">
              <w:r>
                <w:rPr>
                  <w:vertAlign w:val="superscript"/>
                </w:rPr>
                <w:t>-8</w:t>
              </w:r>
            </w:ins>
            <w:ins w:id="8" w:author="Thales" w:date="2025-02-20T17:56:33Z">
              <w:r>
                <w:rPr>
                  <w:lang w:eastAsia="zh-CN"/>
                </w:rPr>
                <w:t>)</w:t>
              </w:r>
            </w:ins>
            <w:ins w:id="9" w:author="Thales" w:date="2025-02-20T17:56:33Z">
              <w:r>
                <w:rPr>
                  <w:rFonts w:hint="default"/>
                  <w:lang w:val="fr-FR" w:eastAsia="zh-CN"/>
                </w:rPr>
                <w:t xml:space="preserve"> + pi for negative values.</w:t>
              </w:r>
            </w:ins>
            <w:del w:id="10" w:author="Thales" w:date="2025-02-20T17:56:32Z">
              <w:r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</w:tr>
      <w:tr w14:paraId="3600E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CA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14:paraId="3F4BF0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longitude of ascending node </w:t>
            </w:r>
            <w:r>
              <w:rPr>
                <w:rFonts w:ascii="Arial" w:hAnsi="Arial"/>
                <w:sz w:val="18"/>
                <w:lang w:eastAsia="ja-JP"/>
              </w:rPr>
              <w:sym w:font="Symbol" w:char="F05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04906F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6D950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FF9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meanAnomaly</w:t>
            </w:r>
          </w:p>
          <w:p w14:paraId="4FDC9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Mean anomaly M at epoch time, see NIMA TR 8350.2 [71]. Unit is radian.</w:t>
            </w:r>
          </w:p>
          <w:p w14:paraId="24B73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A38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B88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14:paraId="0CA0C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argument of periapsis </w:t>
            </w:r>
            <w:r>
              <w:rPr>
                <w:rFonts w:ascii="Arial" w:hAnsi="Arial"/>
                <w:sz w:val="18"/>
                <w:lang w:eastAsia="ja-JP"/>
              </w:rPr>
              <w:sym w:font="Symbol" w:char="F07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2563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1BF6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4AF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14:paraId="220011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position state vector in ECEF. Unit is meter.</w:t>
            </w:r>
          </w:p>
          <w:p w14:paraId="52C42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1.3 m.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1.3.</w:t>
            </w:r>
          </w:p>
        </w:tc>
      </w:tr>
      <w:tr w14:paraId="5451E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EC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14:paraId="625941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semi major axis </w:t>
            </w:r>
            <w:r>
              <w:rPr>
                <w:rFonts w:ascii="Arial" w:hAnsi="Arial"/>
                <w:sz w:val="18"/>
                <w:lang w:eastAsia="ja-JP"/>
              </w:rPr>
              <w:sym w:font="Symbol" w:char="F061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meter.</w:t>
            </w:r>
          </w:p>
          <w:p w14:paraId="33F85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Step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of 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-3 </w:t>
            </w:r>
            <w:r>
              <w:rPr>
                <w:rFonts w:ascii="Arial" w:hAnsi="Arial"/>
                <w:sz w:val="18"/>
                <w:lang w:eastAsia="zh-CN"/>
              </w:rPr>
              <w:t>m. Actual value =</w:t>
            </w:r>
            <w:r>
              <w:rPr>
                <w:rFonts w:ascii="Arial" w:hAnsi="Arial"/>
                <w:sz w:val="18"/>
                <w:lang w:eastAsia="ja-JP"/>
              </w:rPr>
              <w:t xml:space="preserve"> 6500000</w:t>
            </w:r>
            <w:r>
              <w:rPr>
                <w:rFonts w:ascii="Arial" w:hAnsi="Arial"/>
                <w:sz w:val="18"/>
                <w:lang w:eastAsia="zh-CN"/>
              </w:rPr>
              <w:t xml:space="preserve"> + field value * (4.249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-3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5B99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46C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14:paraId="5EB1E2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14:paraId="66CB3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0.06 m/s.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0.06.</w:t>
            </w:r>
          </w:p>
        </w:tc>
      </w:tr>
    </w:tbl>
    <w:p w14:paraId="46E409C1"/>
    <w:p w14:paraId="06971506"/>
    <w:p w14:paraId="10C501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3BDAEC24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1D084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C72CC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6C22D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17803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558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CA2DD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1BD0F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1ADEA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2E874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148F4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46D64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2495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EF1A3B"/>
    <w:rsid w:val="00F25D98"/>
    <w:rsid w:val="00F300FB"/>
    <w:rsid w:val="00FB6386"/>
    <w:rsid w:val="2EFCB94C"/>
    <w:rsid w:val="567625CB"/>
    <w:rsid w:val="59FF39E2"/>
    <w:rsid w:val="7BFDF296"/>
    <w:rsid w:val="D7FAD7AC"/>
    <w:rsid w:val="E75DF458"/>
    <w:rsid w:val="E7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512B895A-B10B-4A96-85C0-6CB124A0A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3</Pages>
  <Words>901</Words>
  <Characters>5140</Characters>
  <Lines>42</Lines>
  <Paragraphs>12</Paragraphs>
  <TotalTime>1</TotalTime>
  <ScaleCrop>false</ScaleCrop>
  <LinksUpToDate>false</LinksUpToDate>
  <CharactersWithSpaces>6029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2025-02-06T23:37:00Z</dcterms:created>
  <dc:creator>Flavien Ronteix (Thales)</dc:creator>
  <cp:lastModifiedBy>Thales</cp:lastModifiedBy>
  <cp:lastPrinted>1900-01-01T04:00:00Z</cp:lastPrinted>
  <dcterms:modified xsi:type="dcterms:W3CDTF">2025-02-20T18:08:46Z</dcterms:modified>
  <dc:title>CR R17 Clarification on inclination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71FE08EE707A3B0B168EB5673A9AFB41_42</vt:lpwstr>
  </property>
</Properties>
</file>